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A3B6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t>13166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t>Osnovna škola  Ostrog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A3B6E" w:rsidRDefault="00F55603">
            <w:pPr>
              <w:spacing w:after="0" w:line="240" w:lineRule="auto"/>
            </w:pPr>
            <w:r>
              <w:t>31</w:t>
            </w:r>
          </w:p>
        </w:tc>
      </w:tr>
    </w:tbl>
    <w:p w:rsidR="00AA3B6E" w:rsidRDefault="00F55603">
      <w:r>
        <w:br/>
      </w:r>
    </w:p>
    <w:p w:rsidR="00AA3B6E" w:rsidRDefault="00F5560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A3B6E" w:rsidRDefault="00F5560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A3B6E" w:rsidRDefault="00F5560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2.509.644,70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2.753.509,08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2.396.211,98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2.851.152,79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AA3B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97.643,71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148.246,25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144.783,57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AA3B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148.246,25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144.783,57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97,7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AA3B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AA3B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34.813,53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242.427,28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696,4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>Osnovna škola Ostrog, Kaštel Lukšić (dalje: Škola) je ustanova koja pruža osnovnoškolsko obrazovanje učenicima od 1. do 8. razreda. Rad škole je organiziran u petodnevnom radnom tjednu u dvije smjene. Nastava se izvodi prema Nastavnim planovima i programim</w:t>
      </w:r>
      <w:r>
        <w:t>a koje je donijelo Ministarstvo znanosti i obrazovanja, prema Godišnjem planu i programu rada škole te Školskom kurikulumu.   </w:t>
      </w:r>
    </w:p>
    <w:p w:rsidR="00AA3B6E" w:rsidRDefault="00F55603">
      <w:r>
        <w:lastRenderedPageBreak/>
        <w:t>Osnovni izvori financiranja su sredstva Državnog proračuna kojima se financiraju plaće djelatnika škole. Županija Splitsko-dalmat</w:t>
      </w:r>
      <w:r>
        <w:t>inska financira materijalne troškove, prijevoz učenika te sufinancira pomoćnike u nastavi kroz projekt Učimo zajedno. Vlastiti prihode Škole čine prihodi koje Škola ostvaruje pružanjem usluga iznajmljivanja dvorane odbojkaškim i drugim klubovima</w:t>
      </w:r>
    </w:p>
    <w:p w:rsidR="00AA3B6E" w:rsidRDefault="00F55603">
      <w:r>
        <w:t>Manjak u o</w:t>
      </w:r>
      <w:r>
        <w:t>vako velikom iznosu je nastao zbog promjena u knjiženju od 01.siječnja 2025.g. -knjigovodstvene evidencije u poslovnim knjigama provode se sukladno Pravilniku o proračunskom računovodstvu i računskom planu. Konto 19311-kontinuirani rashodi budućih razdoblj</w:t>
      </w:r>
      <w:r>
        <w:t>a je ukinut pa je i plaća za 12/2025 u iznosu od 175.405,88  eura uključena u ovaj iznos.</w:t>
      </w:r>
    </w:p>
    <w:p w:rsidR="00AA3B6E" w:rsidRDefault="00F55603">
      <w:r>
        <w:br/>
      </w:r>
    </w:p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2.087.725,65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2.252.722,41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>Odnosi se prvenstveno na prihode od MZOM za plaće i materijalna prava djelatnika 2.030.464,00 eura, te isplate po pravomoćnim sudskim  presudama za jednog djelatnika u iznosu od 3.157,36 eura , te prihode MZOM-a  za  </w:t>
      </w:r>
      <w:proofErr w:type="spellStart"/>
      <w:r>
        <w:t>psihodijagnostiku</w:t>
      </w:r>
      <w:proofErr w:type="spellEnd"/>
      <w:r>
        <w:t>-testovi u iznosu od 1</w:t>
      </w:r>
      <w:r>
        <w:t xml:space="preserve">.880,81 eura, prihod za pokriće troškova prehrane učenika iznose 126.688,45 eura; </w:t>
      </w:r>
      <w:proofErr w:type="spellStart"/>
      <w:r>
        <w:t>hig.potrepštine</w:t>
      </w:r>
      <w:proofErr w:type="spellEnd"/>
      <w:r>
        <w:t xml:space="preserve"> učenica u iznosu od 1.251 eura, Prihodi koje grad Kaštela financira iznose 89.280,73 </w:t>
      </w:r>
      <w:proofErr w:type="spellStart"/>
      <w:r>
        <w:t>eura,od</w:t>
      </w:r>
      <w:proofErr w:type="spellEnd"/>
      <w:r>
        <w:t xml:space="preserve"> toga se na nabavu radnih materijala odnosi 62.612,39 eura.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61.413,39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50.866,17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 xml:space="preserve">Odnosi se na prihode </w:t>
      </w:r>
      <w:proofErr w:type="spellStart"/>
      <w:r>
        <w:t>MInistarstva</w:t>
      </w:r>
      <w:proofErr w:type="spellEnd"/>
      <w:r>
        <w:t xml:space="preserve"> znanosti obrazovanja i mladih za nabavu udžbenika za školsku godinu 2025/2026. kao i nabavu </w:t>
      </w:r>
      <w:proofErr w:type="spellStart"/>
      <w:r>
        <w:t>lektirnih</w:t>
      </w:r>
      <w:proofErr w:type="spellEnd"/>
      <w:r>
        <w:t xml:space="preserve"> naslova za opremanje školske knjižnice u 2025. godini. 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61.985,57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84.917,05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>Na ovoj poziciji evidentirani su prihode od Županije namijenjeni EU projektu „Učimo zajedno VII“. Razlika u odnosu na prošlu godinu nastala je zbog povećanja  postotka koji se evidentiranja na ovoj poziciji, a sve prema uputi Županije.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175.405,88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>Na  kontu 1636 evidentirana su potraživanja za iznose obračunate plaće i na kontu 9636 obračunati prihodi prema novom Pravilniku o proračunskom računovodstvu  od 01.01.2025.g.za skoro sva potraživanja osim od proračuna koji nam je nadležan.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174.376,85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t>Na  kontu 1636 evidentirana su potraživanja za iznose obračunate plaće i na kontu 9636 obračunati prihodi prema novom Pravilniku o proračunskom računovodstvu  od 01.01.2025.g.za skoro sva potraživanja osim od proračuna koji nam je nadležan.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b/>
          <w:sz w:val="28"/>
        </w:rPr>
        <w:t>Izvještaj o ob</w:t>
      </w:r>
      <w:r>
        <w:rPr>
          <w:b/>
          <w:sz w:val="28"/>
        </w:rPr>
        <w:t>vezama</w:t>
      </w:r>
    </w:p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A3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3B6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AA3B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90.436,39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3B6E" w:rsidRDefault="00F55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A3B6E" w:rsidRDefault="00AA3B6E">
      <w:pPr>
        <w:spacing w:after="0"/>
      </w:pPr>
    </w:p>
    <w:p w:rsidR="00AA3B6E" w:rsidRDefault="00F55603">
      <w:r>
        <w:lastRenderedPageBreak/>
        <w:t>Stanje dospjelih obveza na kraju izvještajnog razdoblja iznose 90.436,39 eura, a odnosi najvećim dijelom na obveze za dodatna ulaganja na nefinancijskoj imovini, odnosno na izradu glavnog projekta za rekonstrukciju i opremanje osnovne škole u svrhu prelask</w:t>
      </w:r>
      <w:r>
        <w:t>a škole u jednu smjenu i provođenje cjelodnevne škole te ostatak koji se odnosi na obveze za materijalne i financijske rashode kojima je prekoračenje roka dospijeća par dana.  </w:t>
      </w:r>
    </w:p>
    <w:p w:rsidR="00AA3B6E" w:rsidRDefault="00AA3B6E"/>
    <w:p w:rsidR="00AA3B6E" w:rsidRDefault="00F55603">
      <w:pPr>
        <w:keepNext/>
        <w:spacing w:line="240" w:lineRule="auto"/>
        <w:jc w:val="center"/>
      </w:pPr>
      <w:r>
        <w:rPr>
          <w:sz w:val="28"/>
        </w:rPr>
        <w:t>Bilješka 8.</w:t>
      </w:r>
    </w:p>
    <w:p w:rsidR="00AA3B6E" w:rsidRDefault="00F55603">
      <w:pPr>
        <w:spacing w:line="240" w:lineRule="auto"/>
        <w:jc w:val="both"/>
      </w:pPr>
      <w:r>
        <w:rPr>
          <w:b/>
        </w:rPr>
        <w:t>EU izvještaj</w:t>
      </w:r>
    </w:p>
    <w:p w:rsidR="00AA3B6E" w:rsidRDefault="00F55603">
      <w:r>
        <w:t>Financiranje pomoćnika u nastavi primarno se osigurav</w:t>
      </w:r>
      <w:r>
        <w:t>a putem bespovratnih sredstava iz  Europskog socijalnog fonda plus najvećim dijelom finan</w:t>
      </w:r>
      <w:bookmarkStart w:id="0" w:name="_GoBack"/>
      <w:bookmarkEnd w:id="0"/>
      <w:r>
        <w:t xml:space="preserve">ciranja u iznosu od 85 % , s ciljem osiguranja </w:t>
      </w:r>
      <w:proofErr w:type="spellStart"/>
      <w:r>
        <w:t>inkluzivnog</w:t>
      </w:r>
      <w:proofErr w:type="spellEnd"/>
      <w:r>
        <w:t xml:space="preserve"> obrazovanja kroz izravnu podršku učenicima s teškoćama u razvoju.  Kroz europski socijalni fond plus </w:t>
      </w:r>
      <w:proofErr w:type="spellStart"/>
      <w:r>
        <w:t>finacira</w:t>
      </w:r>
      <w:r>
        <w:t>ni</w:t>
      </w:r>
      <w:proofErr w:type="spellEnd"/>
      <w:r>
        <w:t xml:space="preserve"> su rashodi za troškove plaća za 19 pomoćnika u nastavi u iznosu od 84.917,05 eura, od toga se 10.612,12 eura odnosi na doprinose na plaći, 1.277,23 odnosi se na naknade za prijevoz s posla na posao, dok se 3.347,60 odnosi na ostale rashode za zaposlene.</w:t>
      </w:r>
      <w:r>
        <w:t>(prigodne darove za djecu, regres,..)</w:t>
      </w:r>
    </w:p>
    <w:p w:rsidR="00AA3B6E" w:rsidRDefault="00F55603">
      <w:r>
        <w:t>Dok se 15% osigurava iz nacionalnih sredstava čiji rashodi u 2025. godini za troškove plaća 19 pomoćnika u nastavi iznose 14.985,36 eura, od toga se 1.872,73 eura odnosi na doprinose na plaći, 225,40 odnosi se na nakna</w:t>
      </w:r>
      <w:r>
        <w:t>de za prijevoz s posla na posao, dok se 590,75 odnosi na ostale rashode za zaposlene.</w:t>
      </w:r>
    </w:p>
    <w:p w:rsidR="00AA3B6E" w:rsidRDefault="00AA3B6E"/>
    <w:sectPr w:rsidR="00A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B6E"/>
    <w:rsid w:val="00AA3B6E"/>
    <w:rsid w:val="00F5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149B"/>
  <w15:docId w15:val="{21561336-6463-4637-BCC4-FC273A87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Tojčić</cp:lastModifiedBy>
  <cp:revision>3</cp:revision>
  <dcterms:created xsi:type="dcterms:W3CDTF">2026-02-12T10:13:00Z</dcterms:created>
  <dcterms:modified xsi:type="dcterms:W3CDTF">2026-02-12T10:13:00Z</dcterms:modified>
</cp:coreProperties>
</file>